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347" w:rsidRPr="002637FA" w:rsidRDefault="00177347">
      <w:pPr>
        <w:rPr>
          <w:rFonts w:ascii="Times New Roman" w:hAnsi="Times New Roman" w:cs="Times New Roman"/>
          <w:b/>
        </w:rPr>
      </w:pPr>
      <w:r w:rsidRPr="002637FA">
        <w:rPr>
          <w:rFonts w:ascii="Times New Roman" w:hAnsi="Times New Roman" w:cs="Times New Roman"/>
          <w:b/>
        </w:rPr>
        <w:t>Describe the New Zealand court hierarchy.</w:t>
      </w:r>
    </w:p>
    <w:p w:rsidR="004C7F74" w:rsidRPr="002637FA" w:rsidRDefault="00D3096A">
      <w:pPr>
        <w:rPr>
          <w:rFonts w:ascii="Times New Roman" w:hAnsi="Times New Roman" w:cs="Times New Roman"/>
        </w:rPr>
      </w:pPr>
      <w:r w:rsidRPr="002637FA">
        <w:rPr>
          <w:rFonts w:ascii="Times New Roman" w:hAnsi="Times New Roman" w:cs="Times New Roman"/>
          <w:noProof/>
        </w:rPr>
        <w:pict>
          <v:roundrect id="_x0000_s1031" style="position:absolute;margin-left:138.75pt;margin-top:220.55pt;width:147pt;height:85.5pt;z-index:251662336" arcsize="10923f">
            <v:shadow on="t" opacity=".5" offset="-6pt,-6pt"/>
            <v:textbox>
              <w:txbxContent>
                <w:p w:rsidR="00D3096A" w:rsidRDefault="00D3096A">
                  <w:r>
                    <w:t>District Court</w:t>
                  </w:r>
                </w:p>
                <w:p w:rsidR="00D3096A" w:rsidRDefault="00D3096A" w:rsidP="00D3096A">
                  <w:pPr>
                    <w:pStyle w:val="ListParagraph"/>
                    <w:numPr>
                      <w:ilvl w:val="0"/>
                      <w:numId w:val="1"/>
                    </w:numPr>
                  </w:pPr>
                  <w:r>
                    <w:t xml:space="preserve">general jurisdiction </w:t>
                  </w:r>
                </w:p>
                <w:p w:rsidR="00D3096A" w:rsidRDefault="00D3096A" w:rsidP="00D3096A">
                  <w:pPr>
                    <w:pStyle w:val="ListParagraph"/>
                    <w:numPr>
                      <w:ilvl w:val="0"/>
                      <w:numId w:val="1"/>
                    </w:numPr>
                  </w:pPr>
                  <w:r>
                    <w:t>Family court</w:t>
                  </w:r>
                </w:p>
                <w:p w:rsidR="00D3096A" w:rsidRDefault="00D3096A" w:rsidP="00D3096A">
                  <w:pPr>
                    <w:pStyle w:val="ListParagraph"/>
                    <w:numPr>
                      <w:ilvl w:val="0"/>
                      <w:numId w:val="1"/>
                    </w:numPr>
                  </w:pPr>
                  <w:r>
                    <w:t>Youth Court</w:t>
                  </w:r>
                </w:p>
                <w:p w:rsidR="00D3096A" w:rsidRDefault="00D3096A" w:rsidP="00D3096A">
                  <w:pPr>
                    <w:ind w:left="360"/>
                  </w:pPr>
                  <w:r>
                    <w:t xml:space="preserve"> </w:t>
                  </w:r>
                </w:p>
              </w:txbxContent>
            </v:textbox>
          </v:roundrect>
        </w:pict>
      </w:r>
      <w:r w:rsidRPr="002637FA">
        <w:rPr>
          <w:rFonts w:ascii="Times New Roman" w:hAnsi="Times New Roman" w:cs="Times New Roman"/>
          <w:noProof/>
        </w:rPr>
        <w:pict>
          <v:roundrect id="_x0000_s1030" style="position:absolute;margin-left:15pt;margin-top:186.8pt;width:129.75pt;height:25.5pt;z-index:251661312" arcsize="10923f" fillcolor="#d8d8d8 [2732]">
            <v:shadow on="t" opacity=".5" offset="-6pt,-6pt"/>
            <v:textbox>
              <w:txbxContent>
                <w:p w:rsidR="00D3096A" w:rsidRPr="00D3096A" w:rsidRDefault="00D3096A" w:rsidP="00D3096A">
                  <w:pPr>
                    <w:jc w:val="center"/>
                    <w:rPr>
                      <w:b/>
                    </w:rPr>
                  </w:pPr>
                  <w:r>
                    <w:rPr>
                      <w:b/>
                    </w:rPr>
                    <w:t>Employment Court</w:t>
                  </w:r>
                </w:p>
              </w:txbxContent>
            </v:textbox>
          </v:roundrect>
        </w:pict>
      </w:r>
      <w:r w:rsidRPr="002637FA">
        <w:rPr>
          <w:rFonts w:ascii="Times New Roman" w:hAnsi="Times New Roman" w:cs="Times New Roman"/>
          <w:noProof/>
        </w:rPr>
        <w:pict>
          <v:roundrect id="_x0000_s1032" style="position:absolute;margin-left:293.25pt;margin-top:228.8pt;width:129.75pt;height:25.5pt;z-index:251663360" arcsize="10923f">
            <v:shadow on="t" opacity=".5" offset="-6pt,-6pt"/>
            <v:textbox>
              <w:txbxContent>
                <w:p w:rsidR="00D3096A" w:rsidRPr="00D3096A" w:rsidRDefault="00D3096A" w:rsidP="00D3096A">
                  <w:pPr>
                    <w:jc w:val="center"/>
                    <w:rPr>
                      <w:b/>
                    </w:rPr>
                  </w:pPr>
                  <w:r>
                    <w:rPr>
                      <w:b/>
                    </w:rPr>
                    <w:t>Administrative tribunals</w:t>
                  </w:r>
                </w:p>
              </w:txbxContent>
            </v:textbox>
          </v:roundrect>
        </w:pict>
      </w:r>
      <w:r w:rsidRPr="002637FA">
        <w:rPr>
          <w:rFonts w:ascii="Times New Roman" w:hAnsi="Times New Roman" w:cs="Times New Roman"/>
          <w:noProof/>
        </w:rPr>
        <w:pict>
          <v:roundrect id="_x0000_s1033" style="position:absolute;margin-left:293.25pt;margin-top:186.8pt;width:129.75pt;height:25.5pt;z-index:251664384" arcsize="10923f" fillcolor="#d8d8d8 [2732]">
            <v:shadow on="t" opacity=".5" offset="-6pt,-6pt"/>
            <v:textbox>
              <w:txbxContent>
                <w:p w:rsidR="00D3096A" w:rsidRPr="00D3096A" w:rsidRDefault="00D3096A" w:rsidP="00D3096A">
                  <w:pPr>
                    <w:jc w:val="center"/>
                    <w:rPr>
                      <w:b/>
                    </w:rPr>
                  </w:pPr>
                  <w:r>
                    <w:rPr>
                      <w:b/>
                    </w:rPr>
                    <w:t>Environment Court</w:t>
                  </w:r>
                </w:p>
              </w:txbxContent>
            </v:textbox>
          </v:roundrect>
        </w:pict>
      </w:r>
      <w:r w:rsidRPr="002637FA">
        <w:rPr>
          <w:rFonts w:ascii="Times New Roman" w:hAnsi="Times New Roman" w:cs="Times New Roman"/>
          <w:noProof/>
        </w:rPr>
        <w:pict>
          <v:roundrect id="_x0000_s1029" style="position:absolute;margin-left:156pt;margin-top:186.8pt;width:129.75pt;height:25.5pt;z-index:251660288" arcsize="10923f" fillcolor="#d8d8d8 [2732]">
            <v:shadow on="t" opacity=".5" offset="-6pt,-6pt"/>
            <v:textbox>
              <w:txbxContent>
                <w:p w:rsidR="00D3096A" w:rsidRPr="00D3096A" w:rsidRDefault="00D3096A" w:rsidP="00D3096A">
                  <w:pPr>
                    <w:jc w:val="center"/>
                    <w:rPr>
                      <w:b/>
                    </w:rPr>
                  </w:pPr>
                  <w:r>
                    <w:rPr>
                      <w:b/>
                    </w:rPr>
                    <w:t>High Court</w:t>
                  </w:r>
                </w:p>
              </w:txbxContent>
            </v:textbox>
          </v:roundrect>
        </w:pict>
      </w:r>
      <w:r w:rsidRPr="002637FA">
        <w:rPr>
          <w:rFonts w:ascii="Times New Roman" w:hAnsi="Times New Roman" w:cs="Times New Roman"/>
          <w:noProof/>
        </w:rPr>
        <w:pict>
          <v:roundrect id="_x0000_s1027" style="position:absolute;margin-left:156pt;margin-top:84.05pt;width:129.75pt;height:25.5pt;z-index:251658240" arcsize="10923f" fillcolor="#d8d8d8 [2732]">
            <v:shadow on="t" opacity=".5" offset="-6pt,-6pt"/>
            <v:textbox>
              <w:txbxContent>
                <w:p w:rsidR="00D3096A" w:rsidRDefault="00D3096A" w:rsidP="00D3096A">
                  <w:pPr>
                    <w:jc w:val="center"/>
                  </w:pPr>
                  <w:r w:rsidRPr="00D3096A">
                    <w:rPr>
                      <w:b/>
                    </w:rPr>
                    <w:t>Supreme</w:t>
                  </w:r>
                  <w:r>
                    <w:t xml:space="preserve"> </w:t>
                  </w:r>
                  <w:r w:rsidRPr="00D3096A">
                    <w:rPr>
                      <w:b/>
                    </w:rPr>
                    <w:t>Court</w:t>
                  </w:r>
                </w:p>
              </w:txbxContent>
            </v:textbox>
          </v:roundrect>
        </w:pict>
      </w:r>
      <w:r w:rsidRPr="002637FA">
        <w:rPr>
          <w:rFonts w:ascii="Times New Roman" w:hAnsi="Times New Roman" w:cs="Times New Roman"/>
          <w:noProof/>
        </w:rPr>
        <w:pict>
          <v:roundrect id="_x0000_s1028" style="position:absolute;margin-left:156pt;margin-top:133.55pt;width:129.75pt;height:25.5pt;z-index:251659264" arcsize="10923f" fillcolor="#d8d8d8 [2732]">
            <v:shadow on="t" opacity=".5" offset="-6pt,-6pt"/>
            <v:textbox>
              <w:txbxContent>
                <w:p w:rsidR="00D3096A" w:rsidRPr="00D3096A" w:rsidRDefault="00D3096A" w:rsidP="00D3096A">
                  <w:pPr>
                    <w:jc w:val="center"/>
                    <w:rPr>
                      <w:b/>
                    </w:rPr>
                  </w:pPr>
                  <w:r>
                    <w:rPr>
                      <w:b/>
                    </w:rPr>
                    <w:t>Court of Appeal</w:t>
                  </w:r>
                </w:p>
              </w:txbxContent>
            </v:textbox>
          </v:roundrect>
        </w:pict>
      </w:r>
      <w:r w:rsidRPr="002637FA">
        <w:rPr>
          <w:rFonts w:ascii="Times New Roman" w:hAnsi="Times New Roman" w:cs="Times New Roman"/>
          <w:noProof/>
        </w:rPr>
        <w:pict>
          <v:roundrect id="_x0000_s1034" style="position:absolute;margin-left:297.75pt;margin-top:270.8pt;width:129.75pt;height:25.5pt;z-index:251665408" arcsize="10923f">
            <v:shadow on="t" opacity=".5" offset="-6pt,-6pt"/>
            <v:textbox>
              <w:txbxContent>
                <w:p w:rsidR="00D3096A" w:rsidRPr="00D3096A" w:rsidRDefault="00D3096A" w:rsidP="00D3096A">
                  <w:pPr>
                    <w:jc w:val="center"/>
                    <w:rPr>
                      <w:b/>
                    </w:rPr>
                  </w:pPr>
                  <w:r>
                    <w:rPr>
                      <w:b/>
                    </w:rPr>
                    <w:t>Disputes Tribunals</w:t>
                  </w:r>
                </w:p>
              </w:txbxContent>
            </v:textbox>
          </v:roundrect>
        </w:pict>
      </w:r>
      <w:r w:rsidR="00171D80" w:rsidRPr="002637FA">
        <w:rPr>
          <w:rFonts w:ascii="Times New Roman" w:hAnsi="Times New Roman" w:cs="Times New Roman"/>
        </w:rPr>
        <w:t xml:space="preserve">A hierarchy consists of a ranking of institutions according to their respective degrees of power. In relation to the courts it provides a system of appeals for unsatisfied </w:t>
      </w:r>
      <w:r w:rsidR="000E26F4" w:rsidRPr="002637FA">
        <w:rPr>
          <w:rFonts w:ascii="Times New Roman" w:hAnsi="Times New Roman" w:cs="Times New Roman"/>
        </w:rPr>
        <w:t>people</w:t>
      </w:r>
      <w:r w:rsidR="00171D80" w:rsidRPr="002637FA">
        <w:rPr>
          <w:rFonts w:ascii="Times New Roman" w:hAnsi="Times New Roman" w:cs="Times New Roman"/>
        </w:rPr>
        <w:t xml:space="preserve">. </w:t>
      </w:r>
      <w:r w:rsidR="000E26F4" w:rsidRPr="002637FA">
        <w:rPr>
          <w:rFonts w:ascii="Times New Roman" w:hAnsi="Times New Roman" w:cs="Times New Roman"/>
        </w:rPr>
        <w:t xml:space="preserve">The hierarchy system enables some courts to have more status on their decisions and lays the basis for the doctrine of precedent.  </w:t>
      </w:r>
      <w:r w:rsidR="00171D80" w:rsidRPr="002637FA">
        <w:rPr>
          <w:rFonts w:ascii="Times New Roman" w:hAnsi="Times New Roman" w:cs="Times New Roman"/>
        </w:rPr>
        <w:t xml:space="preserve"> </w:t>
      </w:r>
    </w:p>
    <w:p w:rsidR="004C7F74" w:rsidRPr="002637FA" w:rsidRDefault="004C7F74" w:rsidP="004C7F74">
      <w:pPr>
        <w:rPr>
          <w:rFonts w:ascii="Times New Roman" w:hAnsi="Times New Roman" w:cs="Times New Roman"/>
        </w:rPr>
      </w:pPr>
    </w:p>
    <w:p w:rsidR="004C7F74" w:rsidRPr="002637FA" w:rsidRDefault="004C7F74" w:rsidP="004C7F74">
      <w:pPr>
        <w:rPr>
          <w:rFonts w:ascii="Times New Roman" w:hAnsi="Times New Roman" w:cs="Times New Roman"/>
        </w:rPr>
      </w:pPr>
    </w:p>
    <w:p w:rsidR="004C7F74" w:rsidRPr="002637FA" w:rsidRDefault="004C7F74" w:rsidP="004C7F74">
      <w:pPr>
        <w:rPr>
          <w:rFonts w:ascii="Times New Roman" w:hAnsi="Times New Roman" w:cs="Times New Roman"/>
        </w:rPr>
      </w:pPr>
    </w:p>
    <w:p w:rsidR="004C7F74" w:rsidRPr="002637FA" w:rsidRDefault="004C7F74" w:rsidP="004C7F74">
      <w:pPr>
        <w:rPr>
          <w:rFonts w:ascii="Times New Roman" w:hAnsi="Times New Roman" w:cs="Times New Roman"/>
        </w:rPr>
      </w:pPr>
    </w:p>
    <w:p w:rsidR="004C7F74" w:rsidRPr="002637FA" w:rsidRDefault="004C7F74" w:rsidP="004C7F74">
      <w:pPr>
        <w:rPr>
          <w:rFonts w:ascii="Times New Roman" w:hAnsi="Times New Roman" w:cs="Times New Roman"/>
        </w:rPr>
      </w:pPr>
    </w:p>
    <w:p w:rsidR="004C7F74" w:rsidRPr="002637FA" w:rsidRDefault="004C7F74" w:rsidP="004C7F74">
      <w:pPr>
        <w:rPr>
          <w:rFonts w:ascii="Times New Roman" w:hAnsi="Times New Roman" w:cs="Times New Roman"/>
        </w:rPr>
      </w:pPr>
    </w:p>
    <w:p w:rsidR="004C7F74" w:rsidRPr="002637FA" w:rsidRDefault="004C7F74" w:rsidP="004C7F74">
      <w:pPr>
        <w:rPr>
          <w:rFonts w:ascii="Times New Roman" w:hAnsi="Times New Roman" w:cs="Times New Roman"/>
        </w:rPr>
      </w:pPr>
    </w:p>
    <w:p w:rsidR="004C7F74" w:rsidRPr="002637FA" w:rsidRDefault="004C7F74" w:rsidP="004C7F74">
      <w:pPr>
        <w:rPr>
          <w:rFonts w:ascii="Times New Roman" w:hAnsi="Times New Roman" w:cs="Times New Roman"/>
        </w:rPr>
      </w:pPr>
    </w:p>
    <w:p w:rsidR="004C7F74" w:rsidRPr="002637FA" w:rsidRDefault="004C7F74" w:rsidP="004C7F74">
      <w:pPr>
        <w:rPr>
          <w:rFonts w:ascii="Times New Roman" w:hAnsi="Times New Roman" w:cs="Times New Roman"/>
        </w:rPr>
      </w:pPr>
    </w:p>
    <w:p w:rsidR="00165086" w:rsidRPr="002637FA" w:rsidRDefault="004C7F74" w:rsidP="004C7F74">
      <w:pPr>
        <w:tabs>
          <w:tab w:val="left" w:pos="2265"/>
        </w:tabs>
        <w:rPr>
          <w:rFonts w:ascii="Times New Roman" w:hAnsi="Times New Roman" w:cs="Times New Roman"/>
        </w:rPr>
      </w:pPr>
      <w:r w:rsidRPr="002637FA">
        <w:rPr>
          <w:rFonts w:ascii="Times New Roman" w:hAnsi="Times New Roman" w:cs="Times New Roman"/>
        </w:rPr>
        <w:tab/>
      </w:r>
    </w:p>
    <w:p w:rsidR="00353C4D" w:rsidRPr="002637FA" w:rsidRDefault="004C7F74" w:rsidP="004C7F74">
      <w:pPr>
        <w:rPr>
          <w:rFonts w:ascii="Times New Roman" w:hAnsi="Times New Roman" w:cs="Times New Roman"/>
        </w:rPr>
      </w:pPr>
      <w:r w:rsidRPr="002637FA">
        <w:rPr>
          <w:rFonts w:ascii="Times New Roman" w:hAnsi="Times New Roman" w:cs="Times New Roman"/>
        </w:rPr>
        <w:t xml:space="preserve">Doctrine of </w:t>
      </w:r>
      <w:r w:rsidR="00B74A66" w:rsidRPr="002637FA">
        <w:rPr>
          <w:rFonts w:ascii="Times New Roman" w:hAnsi="Times New Roman" w:cs="Times New Roman"/>
        </w:rPr>
        <w:t>precedent is</w:t>
      </w:r>
      <w:r w:rsidRPr="002637FA">
        <w:rPr>
          <w:rFonts w:ascii="Times New Roman" w:hAnsi="Times New Roman" w:cs="Times New Roman"/>
        </w:rPr>
        <w:t xml:space="preserve"> referred as the use of previous case outcomes of higher authority </w:t>
      </w:r>
      <w:r w:rsidR="00B74A66" w:rsidRPr="002637FA">
        <w:rPr>
          <w:rFonts w:ascii="Times New Roman" w:hAnsi="Times New Roman" w:cs="Times New Roman"/>
        </w:rPr>
        <w:t xml:space="preserve">courts. As elaborated in the diagram the hierarchy of New Zealand courts system can be classified into three levels. </w:t>
      </w:r>
    </w:p>
    <w:p w:rsidR="00353C4D" w:rsidRPr="002637FA" w:rsidRDefault="00BA2F4F" w:rsidP="004C7F74">
      <w:pPr>
        <w:rPr>
          <w:rFonts w:ascii="Times New Roman" w:hAnsi="Times New Roman" w:cs="Times New Roman"/>
        </w:rPr>
      </w:pPr>
      <w:r w:rsidRPr="002637FA">
        <w:rPr>
          <w:rFonts w:ascii="Times New Roman" w:hAnsi="Times New Roman" w:cs="Times New Roman"/>
        </w:rPr>
        <w:t xml:space="preserve">The </w:t>
      </w:r>
      <w:r w:rsidR="00B74A66" w:rsidRPr="002637FA">
        <w:rPr>
          <w:rFonts w:ascii="Times New Roman" w:hAnsi="Times New Roman" w:cs="Times New Roman"/>
        </w:rPr>
        <w:t xml:space="preserve">primary </w:t>
      </w:r>
      <w:r w:rsidRPr="002637FA">
        <w:rPr>
          <w:rFonts w:ascii="Times New Roman" w:hAnsi="Times New Roman" w:cs="Times New Roman"/>
        </w:rPr>
        <w:t>level consists of environment court, high court and employment court. These courts are further decentralized. The environment court has administrative tribunals and disputes tribunal</w:t>
      </w:r>
      <w:r w:rsidR="00F631C5" w:rsidRPr="002637FA">
        <w:rPr>
          <w:rFonts w:ascii="Times New Roman" w:hAnsi="Times New Roman" w:cs="Times New Roman"/>
        </w:rPr>
        <w:t>. Administrative tribunal</w:t>
      </w:r>
      <w:r w:rsidRPr="002637FA">
        <w:rPr>
          <w:rFonts w:ascii="Times New Roman" w:hAnsi="Times New Roman" w:cs="Times New Roman"/>
        </w:rPr>
        <w:t xml:space="preserve"> is part of judicial branch of government</w:t>
      </w:r>
      <w:r w:rsidR="00F631C5" w:rsidRPr="002637FA">
        <w:rPr>
          <w:rFonts w:ascii="Times New Roman" w:hAnsi="Times New Roman" w:cs="Times New Roman"/>
        </w:rPr>
        <w:t xml:space="preserve">. Much of their work is concerned with the </w:t>
      </w:r>
      <w:r w:rsidRPr="002637FA">
        <w:rPr>
          <w:rFonts w:ascii="Times New Roman" w:hAnsi="Times New Roman" w:cs="Times New Roman"/>
        </w:rPr>
        <w:t xml:space="preserve">resolution </w:t>
      </w:r>
      <w:r w:rsidR="00F631C5" w:rsidRPr="002637FA">
        <w:rPr>
          <w:rFonts w:ascii="Times New Roman" w:hAnsi="Times New Roman" w:cs="Times New Roman"/>
        </w:rPr>
        <w:t xml:space="preserve">of disputes and conflicts, however, they also grant licenses. Dispute tribunal is also referred to as small claims tribunal. This court has been established to settle claims of low value quickly, informally and </w:t>
      </w:r>
      <w:r w:rsidR="00353C4D" w:rsidRPr="002637FA">
        <w:rPr>
          <w:rFonts w:ascii="Times New Roman" w:hAnsi="Times New Roman" w:cs="Times New Roman"/>
        </w:rPr>
        <w:t>inexpensively.</w:t>
      </w:r>
    </w:p>
    <w:p w:rsidR="00AE24B9" w:rsidRPr="002637FA" w:rsidRDefault="00353C4D" w:rsidP="00AE24B9">
      <w:pPr>
        <w:rPr>
          <w:rFonts w:ascii="Times New Roman" w:hAnsi="Times New Roman" w:cs="Times New Roman"/>
        </w:rPr>
      </w:pPr>
      <w:r w:rsidRPr="002637FA">
        <w:rPr>
          <w:rFonts w:ascii="Times New Roman" w:hAnsi="Times New Roman" w:cs="Times New Roman"/>
        </w:rPr>
        <w:t xml:space="preserve">The high court consists of district court which is further branched into general jurisdiction. Jurisdiction of district court deals with liquidating amount claims to a certain amount, claims of equity, criminal prosecution, actions of specific status and civil cases. Family court deals </w:t>
      </w:r>
      <w:r w:rsidR="00575B50" w:rsidRPr="002637FA">
        <w:rPr>
          <w:rFonts w:ascii="Times New Roman" w:hAnsi="Times New Roman" w:cs="Times New Roman"/>
        </w:rPr>
        <w:t>with settling family matter</w:t>
      </w:r>
      <w:r w:rsidR="003F125E" w:rsidRPr="002637FA">
        <w:rPr>
          <w:rFonts w:ascii="Times New Roman" w:hAnsi="Times New Roman" w:cs="Times New Roman"/>
        </w:rPr>
        <w:t>s</w:t>
      </w:r>
      <w:r w:rsidR="00575B50" w:rsidRPr="002637FA">
        <w:rPr>
          <w:rFonts w:ascii="Times New Roman" w:hAnsi="Times New Roman" w:cs="Times New Roman"/>
        </w:rPr>
        <w:t xml:space="preserve"> in a peaceful and non threatening manner. Issues such as divorce, maintenance and custody, adoption, paternity, guardianship, and family disputes</w:t>
      </w:r>
      <w:r w:rsidR="003F125E" w:rsidRPr="002637FA">
        <w:rPr>
          <w:rFonts w:ascii="Times New Roman" w:hAnsi="Times New Roman" w:cs="Times New Roman"/>
        </w:rPr>
        <w:t xml:space="preserve"> are some of the cases that the family court looks into. Youth court deals with youth justice issues and young offenders it tries to avoid criminal proceedings and is mostly informal. </w:t>
      </w:r>
      <w:r w:rsidR="00AE24B9" w:rsidRPr="002637FA">
        <w:rPr>
          <w:rFonts w:ascii="Times New Roman" w:hAnsi="Times New Roman" w:cs="Times New Roman"/>
        </w:rPr>
        <w:t>The Employment Court of New Zealand was created by the Employment Contracts Act 1991, and has continued under the Employment Relations Act 2000 in an amended form. It has a long heritage, with a New Zealand specialist industrial relations court existing in various forms since 1894.The Court exists to hear and determine cases relating to employment disputes, particularly challenges to determinations of the Employment Relations Authority, questions of interpretation of law, and has first-instance jurisdiction over matters such as strikes and lockouts.</w:t>
      </w:r>
    </w:p>
    <w:p w:rsidR="00937151" w:rsidRPr="002637FA" w:rsidRDefault="00AE24B9" w:rsidP="004C7F74">
      <w:pPr>
        <w:tabs>
          <w:tab w:val="left" w:pos="2265"/>
        </w:tabs>
        <w:rPr>
          <w:rFonts w:ascii="Times New Roman" w:hAnsi="Times New Roman" w:cs="Times New Roman"/>
        </w:rPr>
      </w:pPr>
      <w:r w:rsidRPr="002637FA">
        <w:rPr>
          <w:rFonts w:ascii="Times New Roman" w:hAnsi="Times New Roman" w:cs="Times New Roman"/>
        </w:rPr>
        <w:lastRenderedPageBreak/>
        <w:t>At the next level in the hierarchy of New Zealand court system is the Court of Appeal.</w:t>
      </w:r>
      <w:r w:rsidR="004A6E05" w:rsidRPr="002637FA">
        <w:rPr>
          <w:rFonts w:ascii="Times New Roman" w:hAnsi="Times New Roman" w:cs="Times New Roman"/>
        </w:rPr>
        <w:t xml:space="preserve"> It deals with civil cases and criminal cases. There’s only one court of appeal, however, it has a criminal appeal division in Christchurch and Auckland. </w:t>
      </w:r>
      <w:proofErr w:type="gramStart"/>
      <w:r w:rsidR="004A6E05" w:rsidRPr="002637FA">
        <w:rPr>
          <w:rFonts w:ascii="Times New Roman" w:hAnsi="Times New Roman" w:cs="Times New Roman"/>
        </w:rPr>
        <w:t>it</w:t>
      </w:r>
      <w:proofErr w:type="gramEnd"/>
      <w:r w:rsidR="004A6E05" w:rsidRPr="002637FA">
        <w:rPr>
          <w:rFonts w:ascii="Times New Roman" w:hAnsi="Times New Roman" w:cs="Times New Roman"/>
        </w:rPr>
        <w:t xml:space="preserve"> is presided over by the president of court of a</w:t>
      </w:r>
      <w:r w:rsidR="00CF6F37" w:rsidRPr="002637FA">
        <w:rPr>
          <w:rFonts w:ascii="Times New Roman" w:hAnsi="Times New Roman" w:cs="Times New Roman"/>
        </w:rPr>
        <w:t>ppeal along side with five permanent</w:t>
      </w:r>
      <w:r w:rsidR="004A6E05" w:rsidRPr="002637FA">
        <w:rPr>
          <w:rFonts w:ascii="Times New Roman" w:hAnsi="Times New Roman" w:cs="Times New Roman"/>
        </w:rPr>
        <w:t xml:space="preserve"> judges and other judges who may </w:t>
      </w:r>
      <w:r w:rsidR="00CF6F37" w:rsidRPr="002637FA">
        <w:rPr>
          <w:rFonts w:ascii="Times New Roman" w:hAnsi="Times New Roman" w:cs="Times New Roman"/>
        </w:rPr>
        <w:t xml:space="preserve"> be brought in from the ranks of high court judges if  and when required. In important cases</w:t>
      </w:r>
      <w:r w:rsidR="00937151" w:rsidRPr="002637FA">
        <w:rPr>
          <w:rFonts w:ascii="Times New Roman" w:hAnsi="Times New Roman" w:cs="Times New Roman"/>
        </w:rPr>
        <w:t xml:space="preserve"> a</w:t>
      </w:r>
      <w:r w:rsidR="00CF6F37" w:rsidRPr="002637FA">
        <w:rPr>
          <w:rFonts w:ascii="Times New Roman" w:hAnsi="Times New Roman" w:cs="Times New Roman"/>
        </w:rPr>
        <w:t xml:space="preserve"> panel </w:t>
      </w:r>
      <w:r w:rsidR="00937151" w:rsidRPr="002637FA">
        <w:rPr>
          <w:rFonts w:ascii="Times New Roman" w:hAnsi="Times New Roman" w:cs="Times New Roman"/>
        </w:rPr>
        <w:t xml:space="preserve">of </w:t>
      </w:r>
      <w:r w:rsidR="00CF6F37" w:rsidRPr="002637FA">
        <w:rPr>
          <w:rFonts w:ascii="Times New Roman" w:hAnsi="Times New Roman" w:cs="Times New Roman"/>
        </w:rPr>
        <w:t>5 judges may be used for a case.</w:t>
      </w:r>
    </w:p>
    <w:p w:rsidR="004C7F74" w:rsidRPr="002637FA" w:rsidRDefault="00CF6F37" w:rsidP="004C7F74">
      <w:pPr>
        <w:tabs>
          <w:tab w:val="left" w:pos="2265"/>
        </w:tabs>
        <w:rPr>
          <w:rFonts w:ascii="Times New Roman" w:hAnsi="Times New Roman" w:cs="Times New Roman"/>
        </w:rPr>
      </w:pPr>
      <w:r w:rsidRPr="002637FA">
        <w:rPr>
          <w:rFonts w:ascii="Times New Roman" w:hAnsi="Times New Roman" w:cs="Times New Roman"/>
        </w:rPr>
        <w:t xml:space="preserve"> At the Pinnacle </w:t>
      </w:r>
      <w:r w:rsidR="00937151" w:rsidRPr="002637FA">
        <w:rPr>
          <w:rFonts w:ascii="Times New Roman" w:hAnsi="Times New Roman" w:cs="Times New Roman"/>
        </w:rPr>
        <w:t>is the Supreme Court. It was established by the Supreme Act 2003 and it is the final court of appeal in New Zealand. It reinforces New Zealand’s independency and has wider knowledge of New Zealand’s history, traditions and circumstances in relation to Treaty of Waitangi. It would improve the access to the law for New Zealanders.</w:t>
      </w: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Pr="002637FA" w:rsidRDefault="002637FA" w:rsidP="004C7F74">
      <w:pPr>
        <w:tabs>
          <w:tab w:val="left" w:pos="2265"/>
        </w:tabs>
        <w:rPr>
          <w:rFonts w:ascii="Times New Roman" w:hAnsi="Times New Roman" w:cs="Times New Roman"/>
        </w:rPr>
      </w:pPr>
    </w:p>
    <w:p w:rsidR="002637FA" w:rsidRDefault="002637FA" w:rsidP="004C7F74">
      <w:pPr>
        <w:tabs>
          <w:tab w:val="left" w:pos="2265"/>
        </w:tabs>
        <w:rPr>
          <w:rFonts w:ascii="Times New Roman" w:hAnsi="Times New Roman" w:cs="Times New Roman"/>
        </w:rPr>
      </w:pPr>
    </w:p>
    <w:p w:rsidR="00D945B4" w:rsidRDefault="00D945B4" w:rsidP="004C7F74">
      <w:pPr>
        <w:tabs>
          <w:tab w:val="left" w:pos="2265"/>
        </w:tabs>
        <w:rPr>
          <w:rFonts w:ascii="Times New Roman" w:hAnsi="Times New Roman" w:cs="Times New Roman"/>
        </w:rPr>
      </w:pPr>
    </w:p>
    <w:p w:rsidR="00D945B4" w:rsidRDefault="00D945B4" w:rsidP="004C7F74">
      <w:pPr>
        <w:tabs>
          <w:tab w:val="left" w:pos="2265"/>
        </w:tabs>
        <w:rPr>
          <w:rFonts w:ascii="Times New Roman" w:hAnsi="Times New Roman" w:cs="Times New Roman"/>
        </w:rPr>
      </w:pPr>
    </w:p>
    <w:p w:rsidR="00D945B4" w:rsidRDefault="00D945B4" w:rsidP="004C7F74">
      <w:pPr>
        <w:tabs>
          <w:tab w:val="left" w:pos="2265"/>
        </w:tabs>
        <w:rPr>
          <w:rFonts w:ascii="Times New Roman" w:hAnsi="Times New Roman" w:cs="Times New Roman"/>
        </w:rPr>
      </w:pPr>
    </w:p>
    <w:p w:rsidR="00D945B4" w:rsidRDefault="00D945B4" w:rsidP="004C7F74">
      <w:pPr>
        <w:tabs>
          <w:tab w:val="left" w:pos="2265"/>
        </w:tabs>
        <w:rPr>
          <w:rFonts w:ascii="Times New Roman" w:hAnsi="Times New Roman" w:cs="Times New Roman"/>
        </w:rPr>
      </w:pPr>
    </w:p>
    <w:p w:rsidR="00D945B4" w:rsidRDefault="00D945B4" w:rsidP="004C7F74">
      <w:pPr>
        <w:tabs>
          <w:tab w:val="left" w:pos="2265"/>
        </w:tabs>
        <w:rPr>
          <w:rFonts w:ascii="Times New Roman" w:hAnsi="Times New Roman" w:cs="Times New Roman"/>
        </w:rPr>
      </w:pPr>
    </w:p>
    <w:p w:rsidR="00D945B4" w:rsidRPr="00D945B4" w:rsidRDefault="00D945B4" w:rsidP="004C7F74">
      <w:pPr>
        <w:tabs>
          <w:tab w:val="left" w:pos="2265"/>
        </w:tabs>
        <w:rPr>
          <w:rFonts w:ascii="Times New Roman" w:hAnsi="Times New Roman" w:cs="Times New Roman"/>
          <w:b/>
          <w:sz w:val="48"/>
        </w:rPr>
      </w:pPr>
      <w:r w:rsidRPr="00D945B4">
        <w:rPr>
          <w:rFonts w:ascii="Times New Roman" w:hAnsi="Times New Roman" w:cs="Times New Roman"/>
          <w:b/>
          <w:sz w:val="36"/>
        </w:rPr>
        <w:lastRenderedPageBreak/>
        <w:t xml:space="preserve">Bibliography </w:t>
      </w:r>
    </w:p>
    <w:p w:rsidR="00AF2AF5" w:rsidRDefault="00AF2AF5" w:rsidP="00AF2AF5">
      <w:pPr>
        <w:spacing w:after="0" w:line="240" w:lineRule="auto"/>
        <w:rPr>
          <w:rFonts w:ascii="Arial" w:eastAsia="Times New Roman" w:hAnsi="Arial" w:cs="Arial"/>
          <w:color w:val="414141"/>
          <w:sz w:val="24"/>
          <w:szCs w:val="24"/>
          <w:lang w:eastAsia="en-NZ"/>
        </w:rPr>
      </w:pPr>
      <w:r w:rsidRPr="001034F5">
        <w:rPr>
          <w:rFonts w:ascii="Arial" w:eastAsia="Times New Roman" w:hAnsi="Arial" w:cs="Arial"/>
          <w:color w:val="414141"/>
          <w:sz w:val="24"/>
          <w:szCs w:val="24"/>
          <w:lang w:eastAsia="en-NZ"/>
        </w:rPr>
        <w:t xml:space="preserve">Lawrence, G. (2006). </w:t>
      </w:r>
      <w:proofErr w:type="gramStart"/>
      <w:r w:rsidRPr="001034F5">
        <w:rPr>
          <w:rFonts w:ascii="Arial" w:eastAsia="Times New Roman" w:hAnsi="Arial" w:cs="Arial"/>
          <w:i/>
          <w:iCs/>
          <w:color w:val="414141"/>
          <w:sz w:val="24"/>
          <w:szCs w:val="24"/>
          <w:lang w:eastAsia="en-NZ"/>
        </w:rPr>
        <w:t>Understanding Commercial Law</w:t>
      </w:r>
      <w:r w:rsidRPr="001034F5">
        <w:rPr>
          <w:rFonts w:ascii="Arial" w:eastAsia="Times New Roman" w:hAnsi="Arial" w:cs="Arial"/>
          <w:color w:val="414141"/>
          <w:sz w:val="24"/>
          <w:szCs w:val="24"/>
          <w:lang w:eastAsia="en-NZ"/>
        </w:rPr>
        <w:t>.</w:t>
      </w:r>
      <w:proofErr w:type="gramEnd"/>
      <w:r w:rsidRPr="001034F5">
        <w:rPr>
          <w:rFonts w:ascii="Arial" w:eastAsia="Times New Roman" w:hAnsi="Arial" w:cs="Arial"/>
          <w:color w:val="414141"/>
          <w:sz w:val="24"/>
          <w:szCs w:val="24"/>
          <w:lang w:eastAsia="en-NZ"/>
        </w:rPr>
        <w:t xml:space="preserve"> Wellington: LexisNexis NZ </w:t>
      </w:r>
      <w:r>
        <w:rPr>
          <w:rFonts w:ascii="Arial" w:eastAsia="Times New Roman" w:hAnsi="Arial" w:cs="Arial"/>
          <w:color w:val="414141"/>
          <w:sz w:val="24"/>
          <w:szCs w:val="24"/>
          <w:lang w:eastAsia="en-NZ"/>
        </w:rPr>
        <w:t xml:space="preserve">               </w:t>
      </w:r>
    </w:p>
    <w:p w:rsidR="00AF2AF5" w:rsidRPr="001034F5" w:rsidRDefault="00AF2AF5" w:rsidP="00AF2AF5">
      <w:pPr>
        <w:spacing w:after="0" w:line="240" w:lineRule="auto"/>
        <w:rPr>
          <w:rFonts w:ascii="Arial" w:eastAsia="Times New Roman" w:hAnsi="Arial" w:cs="Arial"/>
          <w:color w:val="414141"/>
          <w:sz w:val="24"/>
          <w:szCs w:val="24"/>
          <w:lang w:eastAsia="en-NZ"/>
        </w:rPr>
      </w:pPr>
      <w:r>
        <w:rPr>
          <w:rFonts w:ascii="Arial" w:eastAsia="Times New Roman" w:hAnsi="Arial" w:cs="Arial"/>
          <w:color w:val="414141"/>
          <w:sz w:val="24"/>
          <w:szCs w:val="24"/>
          <w:lang w:eastAsia="en-NZ"/>
        </w:rPr>
        <w:t xml:space="preserve">     </w:t>
      </w:r>
      <w:bookmarkStart w:id="0" w:name="_GoBack"/>
      <w:bookmarkEnd w:id="0"/>
      <w:proofErr w:type="gramStart"/>
      <w:r w:rsidRPr="001034F5">
        <w:rPr>
          <w:rFonts w:ascii="Arial" w:eastAsia="Times New Roman" w:hAnsi="Arial" w:cs="Arial"/>
          <w:color w:val="414141"/>
          <w:sz w:val="24"/>
          <w:szCs w:val="24"/>
          <w:lang w:eastAsia="en-NZ"/>
        </w:rPr>
        <w:t xml:space="preserve">Ltd, pp. xxxv - </w:t>
      </w:r>
      <w:proofErr w:type="spellStart"/>
      <w:r w:rsidRPr="001034F5">
        <w:rPr>
          <w:rFonts w:ascii="Arial" w:eastAsia="Times New Roman" w:hAnsi="Arial" w:cs="Arial"/>
          <w:color w:val="414141"/>
          <w:sz w:val="24"/>
          <w:szCs w:val="24"/>
          <w:lang w:eastAsia="en-NZ"/>
        </w:rPr>
        <w:t>lxiv</w:t>
      </w:r>
      <w:proofErr w:type="spellEnd"/>
      <w:r w:rsidRPr="001034F5">
        <w:rPr>
          <w:rFonts w:ascii="Arial" w:eastAsia="Times New Roman" w:hAnsi="Arial" w:cs="Arial"/>
          <w:color w:val="414141"/>
          <w:sz w:val="24"/>
          <w:szCs w:val="24"/>
          <w:lang w:eastAsia="en-NZ"/>
        </w:rPr>
        <w:t>, 41 - 50.</w:t>
      </w:r>
      <w:proofErr w:type="gramEnd"/>
    </w:p>
    <w:p w:rsidR="002637FA" w:rsidRPr="002637FA" w:rsidRDefault="002637FA" w:rsidP="004C7F74">
      <w:pPr>
        <w:tabs>
          <w:tab w:val="left" w:pos="2265"/>
        </w:tabs>
        <w:rPr>
          <w:rFonts w:ascii="Times New Roman" w:hAnsi="Times New Roman" w:cs="Times New Roman"/>
        </w:rPr>
      </w:pPr>
    </w:p>
    <w:sectPr w:rsidR="002637FA" w:rsidRPr="002637FA" w:rsidSect="001650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F13E80"/>
    <w:multiLevelType w:val="hybridMultilevel"/>
    <w:tmpl w:val="CE4C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7347"/>
    <w:rsid w:val="000E26F4"/>
    <w:rsid w:val="00165086"/>
    <w:rsid w:val="00171D80"/>
    <w:rsid w:val="00177347"/>
    <w:rsid w:val="0021416F"/>
    <w:rsid w:val="002637FA"/>
    <w:rsid w:val="00353C4D"/>
    <w:rsid w:val="003F125E"/>
    <w:rsid w:val="004A6E05"/>
    <w:rsid w:val="004C7F74"/>
    <w:rsid w:val="00575B50"/>
    <w:rsid w:val="005F4F9E"/>
    <w:rsid w:val="00705752"/>
    <w:rsid w:val="0087673B"/>
    <w:rsid w:val="00923611"/>
    <w:rsid w:val="00937151"/>
    <w:rsid w:val="009C1A21"/>
    <w:rsid w:val="00A66210"/>
    <w:rsid w:val="00AE24B9"/>
    <w:rsid w:val="00AF2AF5"/>
    <w:rsid w:val="00B33C46"/>
    <w:rsid w:val="00B74A66"/>
    <w:rsid w:val="00BA2F4F"/>
    <w:rsid w:val="00CF6F37"/>
    <w:rsid w:val="00D3096A"/>
    <w:rsid w:val="00D945B4"/>
    <w:rsid w:val="00F631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0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9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Principal</cp:lastModifiedBy>
  <cp:revision>3</cp:revision>
  <dcterms:created xsi:type="dcterms:W3CDTF">2011-03-27T05:20:00Z</dcterms:created>
  <dcterms:modified xsi:type="dcterms:W3CDTF">2011-03-27T05:33:00Z</dcterms:modified>
</cp:coreProperties>
</file>